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Look w:val="04A0"/>
      </w:tblPr>
      <w:tblGrid>
        <w:gridCol w:w="4428"/>
        <w:gridCol w:w="4928"/>
      </w:tblGrid>
      <w:tr w:rsidR="00A72D49" w:rsidRPr="00A31F15" w:rsidTr="002B7F2C">
        <w:tc>
          <w:tcPr>
            <w:tcW w:w="4428" w:type="dxa"/>
            <w:shd w:val="clear" w:color="auto" w:fill="auto"/>
          </w:tcPr>
          <w:p w:rsidR="004F11F4" w:rsidRDefault="00A72D49" w:rsidP="00180814">
            <w:pPr>
              <w:spacing w:after="0"/>
              <w:jc w:val="center"/>
              <w:rPr>
                <w:rFonts w:ascii="Times New Roman" w:hAnsi="Times New Roman"/>
                <w:b/>
              </w:rPr>
            </w:pPr>
            <w:r>
              <w:rPr>
                <w:rFonts w:ascii="Times New Roman" w:hAnsi="Times New Roman"/>
                <w:b/>
              </w:rPr>
              <w:t>BAN CHỈ ĐẠO CỔ PHẦN HÓA</w:t>
            </w:r>
          </w:p>
          <w:p w:rsidR="00A72D49" w:rsidRPr="00A31F15" w:rsidRDefault="00A72D49" w:rsidP="00180814">
            <w:pPr>
              <w:spacing w:after="0"/>
              <w:jc w:val="center"/>
              <w:rPr>
                <w:rFonts w:ascii="Times New Roman" w:hAnsi="Times New Roman"/>
                <w:b/>
              </w:rPr>
            </w:pPr>
            <w:r>
              <w:rPr>
                <w:rFonts w:ascii="Times New Roman" w:hAnsi="Times New Roman"/>
                <w:b/>
              </w:rPr>
              <w:t xml:space="preserve"> CÔNG TY TNHH MTV TRUNG TÂM HỘI CHỢ TRIỂN LÃM VIỆT NAM</w:t>
            </w:r>
          </w:p>
          <w:p w:rsidR="00A72D49" w:rsidRDefault="00A72D49" w:rsidP="00180814">
            <w:pPr>
              <w:spacing w:after="0"/>
              <w:jc w:val="center"/>
              <w:rPr>
                <w:rFonts w:ascii="Times New Roman" w:hAnsi="Times New Roman"/>
                <w:b/>
              </w:rPr>
            </w:pPr>
            <w:r w:rsidRPr="00A31F15">
              <w:rPr>
                <w:rFonts w:ascii="Times New Roman" w:hAnsi="Times New Roman"/>
                <w:b/>
              </w:rPr>
              <w:t>--------o0o--------</w:t>
            </w:r>
          </w:p>
          <w:p w:rsidR="00A72D49" w:rsidRPr="00E97C72" w:rsidRDefault="00A72D49" w:rsidP="00180814">
            <w:pPr>
              <w:spacing w:after="0"/>
              <w:jc w:val="center"/>
              <w:rPr>
                <w:rFonts w:ascii="Times New Roman" w:hAnsi="Times New Roman"/>
                <w:sz w:val="24"/>
                <w:szCs w:val="24"/>
              </w:rPr>
            </w:pPr>
            <w:r w:rsidRPr="00E97C72">
              <w:rPr>
                <w:rFonts w:ascii="Times New Roman" w:hAnsi="Times New Roman"/>
                <w:sz w:val="24"/>
                <w:szCs w:val="24"/>
              </w:rPr>
              <w:t>Số:</w:t>
            </w:r>
            <w:r w:rsidR="003C4D25">
              <w:rPr>
                <w:rFonts w:ascii="Times New Roman" w:hAnsi="Times New Roman"/>
                <w:sz w:val="24"/>
                <w:szCs w:val="24"/>
              </w:rPr>
              <w:t xml:space="preserve"> 02/BCĐ</w:t>
            </w:r>
          </w:p>
          <w:p w:rsidR="00A72D49" w:rsidRPr="008F7FF2" w:rsidRDefault="00A72D49" w:rsidP="008F7FF2">
            <w:pPr>
              <w:spacing w:after="0"/>
              <w:ind w:right="-183"/>
              <w:rPr>
                <w:rFonts w:ascii="Times New Roman" w:hAnsi="Times New Roman"/>
                <w:sz w:val="24"/>
                <w:szCs w:val="24"/>
              </w:rPr>
            </w:pPr>
            <w:r w:rsidRPr="00E97C72">
              <w:rPr>
                <w:rFonts w:ascii="Times New Roman" w:hAnsi="Times New Roman"/>
                <w:sz w:val="24"/>
                <w:szCs w:val="24"/>
              </w:rPr>
              <w:t xml:space="preserve">V/v: </w:t>
            </w:r>
            <w:r w:rsidR="00397CCD">
              <w:rPr>
                <w:rFonts w:ascii="Times New Roman" w:hAnsi="Times New Roman"/>
                <w:sz w:val="24"/>
                <w:szCs w:val="24"/>
              </w:rPr>
              <w:t xml:space="preserve">Bổ sung </w:t>
            </w:r>
            <w:r w:rsidRPr="00E97C72">
              <w:rPr>
                <w:rFonts w:ascii="Times New Roman" w:hAnsi="Times New Roman"/>
                <w:sz w:val="24"/>
                <w:szCs w:val="24"/>
              </w:rPr>
              <w:t>Bản công bố thông tin</w:t>
            </w:r>
            <w:r w:rsidR="00E97C72">
              <w:rPr>
                <w:rFonts w:ascii="Times New Roman" w:hAnsi="Times New Roman"/>
                <w:sz w:val="24"/>
                <w:szCs w:val="24"/>
              </w:rPr>
              <w:t xml:space="preserve"> bán đấu giá cổ phần lần đầu </w:t>
            </w:r>
            <w:r w:rsidR="008F3953">
              <w:rPr>
                <w:rFonts w:ascii="Times New Roman" w:hAnsi="Times New Roman"/>
                <w:sz w:val="24"/>
                <w:szCs w:val="24"/>
              </w:rPr>
              <w:t>Công ty TNHH MTV Trung tâm hội chợ triển lãm Việt Nam</w:t>
            </w:r>
          </w:p>
        </w:tc>
        <w:tc>
          <w:tcPr>
            <w:tcW w:w="4928" w:type="dxa"/>
            <w:shd w:val="clear" w:color="auto" w:fill="auto"/>
          </w:tcPr>
          <w:p w:rsidR="00A72D49" w:rsidRPr="00A31F15" w:rsidRDefault="00A72D49" w:rsidP="00180814">
            <w:pPr>
              <w:spacing w:after="0"/>
              <w:jc w:val="center"/>
              <w:rPr>
                <w:rFonts w:ascii="Times New Roman" w:hAnsi="Times New Roman"/>
                <w:b/>
              </w:rPr>
            </w:pPr>
            <w:r w:rsidRPr="00A31F15">
              <w:rPr>
                <w:rFonts w:ascii="Times New Roman" w:hAnsi="Times New Roman"/>
                <w:b/>
              </w:rPr>
              <w:t>CỘNG HÒA XÃ HỘI CHỦ NGHĨA VIỆT NAM</w:t>
            </w:r>
          </w:p>
          <w:p w:rsidR="00A72D49" w:rsidRPr="00A31F15" w:rsidRDefault="00A72D49" w:rsidP="00180814">
            <w:pPr>
              <w:spacing w:after="0"/>
              <w:jc w:val="center"/>
              <w:rPr>
                <w:rFonts w:ascii="Times New Roman" w:hAnsi="Times New Roman"/>
                <w:b/>
              </w:rPr>
            </w:pPr>
            <w:r w:rsidRPr="00A31F15">
              <w:rPr>
                <w:rFonts w:ascii="Times New Roman" w:hAnsi="Times New Roman"/>
                <w:b/>
              </w:rPr>
              <w:t>Độc Lập – Tự Do – Hạnh Phúc</w:t>
            </w:r>
          </w:p>
          <w:p w:rsidR="00A72D49" w:rsidRDefault="00A72D49" w:rsidP="00180814">
            <w:pPr>
              <w:spacing w:after="0"/>
              <w:jc w:val="center"/>
              <w:rPr>
                <w:rFonts w:ascii="Times New Roman" w:hAnsi="Times New Roman"/>
                <w:b/>
              </w:rPr>
            </w:pPr>
            <w:r w:rsidRPr="00A31F15">
              <w:rPr>
                <w:rFonts w:ascii="Times New Roman" w:hAnsi="Times New Roman"/>
                <w:b/>
              </w:rPr>
              <w:t>--------o0o--------</w:t>
            </w:r>
          </w:p>
          <w:p w:rsidR="00A72D49" w:rsidRDefault="00A72D49" w:rsidP="00180814">
            <w:pPr>
              <w:spacing w:after="0"/>
              <w:jc w:val="center"/>
              <w:rPr>
                <w:rFonts w:ascii="Times New Roman" w:hAnsi="Times New Roman"/>
                <w:i/>
              </w:rPr>
            </w:pPr>
          </w:p>
          <w:p w:rsidR="00E97C72" w:rsidRDefault="00E97C72" w:rsidP="00A72D49">
            <w:pPr>
              <w:spacing w:after="0"/>
              <w:jc w:val="right"/>
              <w:rPr>
                <w:rFonts w:ascii="Times New Roman" w:hAnsi="Times New Roman"/>
                <w:i/>
                <w:sz w:val="26"/>
                <w:szCs w:val="26"/>
              </w:rPr>
            </w:pPr>
          </w:p>
          <w:p w:rsidR="00A72D49" w:rsidRPr="00E97C72" w:rsidRDefault="004F11F4" w:rsidP="008F7FF2">
            <w:pPr>
              <w:spacing w:after="0"/>
              <w:jc w:val="right"/>
              <w:rPr>
                <w:rFonts w:ascii="Times New Roman" w:hAnsi="Times New Roman"/>
                <w:i/>
                <w:sz w:val="26"/>
                <w:szCs w:val="26"/>
              </w:rPr>
            </w:pPr>
            <w:r>
              <w:rPr>
                <w:rFonts w:ascii="Times New Roman" w:hAnsi="Times New Roman"/>
                <w:i/>
                <w:sz w:val="26"/>
                <w:szCs w:val="26"/>
              </w:rPr>
              <w:t>Hà N</w:t>
            </w:r>
            <w:r w:rsidR="00A72D49" w:rsidRPr="00E97C72">
              <w:rPr>
                <w:rFonts w:ascii="Times New Roman" w:hAnsi="Times New Roman"/>
                <w:i/>
                <w:sz w:val="26"/>
                <w:szCs w:val="26"/>
              </w:rPr>
              <w:t>ộ</w:t>
            </w:r>
            <w:r w:rsidR="00C7094F">
              <w:rPr>
                <w:rFonts w:ascii="Times New Roman" w:hAnsi="Times New Roman"/>
                <w:i/>
                <w:sz w:val="26"/>
                <w:szCs w:val="26"/>
              </w:rPr>
              <w:t xml:space="preserve">i, ngày </w:t>
            </w:r>
            <w:r w:rsidR="003C4D25">
              <w:rPr>
                <w:rFonts w:ascii="Times New Roman" w:hAnsi="Times New Roman"/>
                <w:i/>
                <w:sz w:val="26"/>
                <w:szCs w:val="26"/>
              </w:rPr>
              <w:t>0</w:t>
            </w:r>
            <w:r w:rsidR="008F7FF2">
              <w:rPr>
                <w:rFonts w:ascii="Times New Roman" w:hAnsi="Times New Roman"/>
                <w:i/>
                <w:sz w:val="26"/>
                <w:szCs w:val="26"/>
              </w:rPr>
              <w:t>6</w:t>
            </w:r>
            <w:r w:rsidR="00A72D49" w:rsidRPr="00E97C72">
              <w:rPr>
                <w:rFonts w:ascii="Times New Roman" w:hAnsi="Times New Roman"/>
                <w:i/>
                <w:sz w:val="26"/>
                <w:szCs w:val="26"/>
              </w:rPr>
              <w:t xml:space="preserve">tháng </w:t>
            </w:r>
            <w:r w:rsidR="00C7094F">
              <w:rPr>
                <w:rFonts w:ascii="Times New Roman" w:hAnsi="Times New Roman"/>
                <w:i/>
                <w:sz w:val="26"/>
                <w:szCs w:val="26"/>
              </w:rPr>
              <w:t>3</w:t>
            </w:r>
            <w:r w:rsidR="00A72D49" w:rsidRPr="00E97C72">
              <w:rPr>
                <w:rFonts w:ascii="Times New Roman" w:hAnsi="Times New Roman"/>
                <w:i/>
                <w:sz w:val="26"/>
                <w:szCs w:val="26"/>
              </w:rPr>
              <w:t xml:space="preserve"> năm 2015</w:t>
            </w:r>
          </w:p>
        </w:tc>
      </w:tr>
    </w:tbl>
    <w:p w:rsidR="00A72D49" w:rsidRDefault="00A72D49" w:rsidP="00A72D49">
      <w:pPr>
        <w:jc w:val="both"/>
        <w:rPr>
          <w:rFonts w:ascii="Times New Roman" w:hAnsi="Times New Roman"/>
        </w:rPr>
      </w:pPr>
    </w:p>
    <w:p w:rsidR="00A72D49" w:rsidRPr="00A67142" w:rsidRDefault="00A72D49" w:rsidP="00E97C72">
      <w:pPr>
        <w:spacing w:before="120" w:after="0"/>
        <w:ind w:left="720" w:firstLine="720"/>
        <w:rPr>
          <w:rFonts w:ascii="Times New Roman" w:hAnsi="Times New Roman"/>
          <w:b/>
          <w:sz w:val="28"/>
          <w:szCs w:val="28"/>
        </w:rPr>
      </w:pPr>
      <w:r w:rsidRPr="00A67142">
        <w:rPr>
          <w:rFonts w:ascii="Times New Roman" w:hAnsi="Times New Roman"/>
          <w:b/>
          <w:sz w:val="28"/>
          <w:szCs w:val="28"/>
        </w:rPr>
        <w:t xml:space="preserve">Kính gửi: </w:t>
      </w:r>
      <w:r w:rsidR="00E97C72" w:rsidRPr="00A67142">
        <w:rPr>
          <w:rFonts w:ascii="Times New Roman" w:hAnsi="Times New Roman"/>
          <w:b/>
          <w:sz w:val="28"/>
          <w:szCs w:val="28"/>
        </w:rPr>
        <w:t>Sở Giao dịch Chứng khoán Hà Nội</w:t>
      </w:r>
    </w:p>
    <w:p w:rsidR="001F0C06" w:rsidRDefault="001F0C06">
      <w:pPr>
        <w:rPr>
          <w:b/>
        </w:rPr>
      </w:pPr>
    </w:p>
    <w:p w:rsidR="00E97C72" w:rsidRPr="00A67142" w:rsidRDefault="00E97C72" w:rsidP="003C4D25">
      <w:pPr>
        <w:spacing w:line="360" w:lineRule="atLeast"/>
        <w:ind w:firstLine="720"/>
        <w:jc w:val="both"/>
        <w:rPr>
          <w:rFonts w:asciiTheme="majorHAnsi" w:hAnsiTheme="majorHAnsi" w:cstheme="majorHAnsi"/>
          <w:sz w:val="28"/>
          <w:szCs w:val="28"/>
        </w:rPr>
      </w:pPr>
      <w:r w:rsidRPr="00A67142">
        <w:rPr>
          <w:rFonts w:asciiTheme="majorHAnsi" w:hAnsiTheme="majorHAnsi" w:cstheme="majorHAnsi"/>
          <w:sz w:val="28"/>
          <w:szCs w:val="28"/>
        </w:rPr>
        <w:t xml:space="preserve">Theo Biên bản làm việc ngày 13 tháng 2 năm 2015 giữa bốn bên: Sở giao dịch chứng khoán Hà Nội, Ban chỉ đạo cổ phần hóa Công ty TNHH MTV Trung tâm Hội chợ triển lãm Việt </w:t>
      </w:r>
      <w:bookmarkStart w:id="0" w:name="_GoBack"/>
      <w:bookmarkEnd w:id="0"/>
      <w:r w:rsidRPr="00A67142">
        <w:rPr>
          <w:rFonts w:asciiTheme="majorHAnsi" w:hAnsiTheme="majorHAnsi" w:cstheme="majorHAnsi"/>
          <w:sz w:val="28"/>
          <w:szCs w:val="28"/>
        </w:rPr>
        <w:t>N</w:t>
      </w:r>
      <w:r w:rsidR="004F11F4" w:rsidRPr="00A67142">
        <w:rPr>
          <w:rFonts w:asciiTheme="majorHAnsi" w:hAnsiTheme="majorHAnsi" w:cstheme="majorHAnsi"/>
          <w:sz w:val="28"/>
          <w:szCs w:val="28"/>
        </w:rPr>
        <w:t>am (Công ty VEFAC), Công ty CP C</w:t>
      </w:r>
      <w:r w:rsidRPr="00A67142">
        <w:rPr>
          <w:rFonts w:asciiTheme="majorHAnsi" w:hAnsiTheme="majorHAnsi" w:cstheme="majorHAnsi"/>
          <w:sz w:val="28"/>
          <w:szCs w:val="28"/>
        </w:rPr>
        <w:t>hứ</w:t>
      </w:r>
      <w:r w:rsidR="004F11F4" w:rsidRPr="00A67142">
        <w:rPr>
          <w:rFonts w:asciiTheme="majorHAnsi" w:hAnsiTheme="majorHAnsi" w:cstheme="majorHAnsi"/>
          <w:sz w:val="28"/>
          <w:szCs w:val="28"/>
        </w:rPr>
        <w:t>ng khoán Ngân hàng C</w:t>
      </w:r>
      <w:r w:rsidRPr="00A67142">
        <w:rPr>
          <w:rFonts w:asciiTheme="majorHAnsi" w:hAnsiTheme="majorHAnsi" w:cstheme="majorHAnsi"/>
          <w:sz w:val="28"/>
          <w:szCs w:val="28"/>
        </w:rPr>
        <w:t>ông thương Việt Nam và Công ty VEFAC, ngày 20/3/2015 sẽ thực hiện đấu giá lần đầu ra công chúng cổ phầ</w:t>
      </w:r>
      <w:r w:rsidR="0045537E" w:rsidRPr="00A67142">
        <w:rPr>
          <w:rFonts w:asciiTheme="majorHAnsi" w:hAnsiTheme="majorHAnsi" w:cstheme="majorHAnsi"/>
          <w:sz w:val="28"/>
          <w:szCs w:val="28"/>
        </w:rPr>
        <w:t>n của Công ty VEFAC.</w:t>
      </w:r>
    </w:p>
    <w:p w:rsidR="00E97C72" w:rsidRPr="00A67142" w:rsidRDefault="00E97C72" w:rsidP="003C4D25">
      <w:pPr>
        <w:spacing w:line="360" w:lineRule="atLeast"/>
        <w:ind w:firstLine="720"/>
        <w:jc w:val="both"/>
        <w:rPr>
          <w:rFonts w:asciiTheme="majorHAnsi" w:hAnsiTheme="majorHAnsi" w:cstheme="majorHAnsi"/>
          <w:sz w:val="28"/>
          <w:szCs w:val="28"/>
        </w:rPr>
      </w:pPr>
      <w:r w:rsidRPr="00A67142">
        <w:rPr>
          <w:rFonts w:asciiTheme="majorHAnsi" w:hAnsiTheme="majorHAnsi" w:cstheme="majorHAnsi"/>
          <w:sz w:val="28"/>
          <w:szCs w:val="28"/>
        </w:rPr>
        <w:t xml:space="preserve">Các thông tin về tổ chức phát hành và cổ phần đấu giá đã được công bố công khai trên các phương tiện thông tin đại chúng. Tuy nhiên, </w:t>
      </w:r>
      <w:r w:rsidR="00FF241F" w:rsidRPr="00A67142">
        <w:rPr>
          <w:rFonts w:asciiTheme="majorHAnsi" w:hAnsiTheme="majorHAnsi" w:cstheme="majorHAnsi"/>
          <w:sz w:val="28"/>
          <w:szCs w:val="28"/>
        </w:rPr>
        <w:t xml:space="preserve">để làm rõ thêm các thông tin, </w:t>
      </w:r>
      <w:r w:rsidRPr="00A67142">
        <w:rPr>
          <w:rFonts w:asciiTheme="majorHAnsi" w:hAnsiTheme="majorHAnsi" w:cstheme="majorHAnsi"/>
          <w:sz w:val="28"/>
          <w:szCs w:val="28"/>
        </w:rPr>
        <w:t>chúng tôi xin</w:t>
      </w:r>
      <w:r w:rsidR="00397CCD" w:rsidRPr="00A67142">
        <w:rPr>
          <w:rFonts w:asciiTheme="majorHAnsi" w:hAnsiTheme="majorHAnsi" w:cstheme="majorHAnsi"/>
          <w:sz w:val="28"/>
          <w:szCs w:val="28"/>
        </w:rPr>
        <w:t xml:space="preserve"> bổ sung</w:t>
      </w:r>
      <w:r w:rsidR="00FF241F" w:rsidRPr="00A67142">
        <w:rPr>
          <w:rFonts w:asciiTheme="majorHAnsi" w:hAnsiTheme="majorHAnsi" w:cstheme="majorHAnsi"/>
          <w:sz w:val="28"/>
          <w:szCs w:val="28"/>
        </w:rPr>
        <w:t xml:space="preserve">thêm </w:t>
      </w:r>
      <w:r w:rsidRPr="00A67142">
        <w:rPr>
          <w:rFonts w:asciiTheme="majorHAnsi" w:hAnsiTheme="majorHAnsi" w:cstheme="majorHAnsi"/>
          <w:sz w:val="28"/>
          <w:szCs w:val="28"/>
        </w:rPr>
        <w:t>một số nội dung tr</w:t>
      </w:r>
      <w:r w:rsidR="00397CCD" w:rsidRPr="00A67142">
        <w:rPr>
          <w:rFonts w:asciiTheme="majorHAnsi" w:hAnsiTheme="majorHAnsi" w:cstheme="majorHAnsi"/>
          <w:sz w:val="28"/>
          <w:szCs w:val="28"/>
        </w:rPr>
        <w:t>ong</w:t>
      </w:r>
      <w:r w:rsidRPr="00A67142">
        <w:rPr>
          <w:rFonts w:asciiTheme="majorHAnsi" w:hAnsiTheme="majorHAnsi" w:cstheme="majorHAnsi"/>
          <w:sz w:val="28"/>
          <w:szCs w:val="28"/>
        </w:rPr>
        <w:t xml:space="preserve"> Bản công bố thông tin</w:t>
      </w:r>
      <w:r w:rsidR="00397CCD" w:rsidRPr="00A67142">
        <w:rPr>
          <w:rFonts w:asciiTheme="majorHAnsi" w:hAnsiTheme="majorHAnsi" w:cstheme="majorHAnsi"/>
          <w:sz w:val="28"/>
          <w:szCs w:val="28"/>
        </w:rPr>
        <w:t>, như sau</w:t>
      </w:r>
      <w:r w:rsidR="0045537E" w:rsidRPr="00A67142">
        <w:rPr>
          <w:rFonts w:asciiTheme="majorHAnsi" w:hAnsiTheme="majorHAnsi" w:cstheme="majorHAnsi"/>
          <w:sz w:val="28"/>
          <w:szCs w:val="28"/>
        </w:rPr>
        <w:t>:</w:t>
      </w:r>
    </w:p>
    <w:p w:rsidR="008F7FF2" w:rsidRPr="00A67142" w:rsidRDefault="008F7FF2" w:rsidP="003C4D25">
      <w:pPr>
        <w:spacing w:line="360" w:lineRule="atLeast"/>
        <w:ind w:firstLine="567"/>
        <w:jc w:val="both"/>
        <w:rPr>
          <w:rFonts w:asciiTheme="majorHAnsi" w:hAnsiTheme="majorHAnsi" w:cstheme="majorHAnsi"/>
          <w:sz w:val="28"/>
          <w:szCs w:val="28"/>
        </w:rPr>
      </w:pPr>
      <w:r w:rsidRPr="00A67142">
        <w:rPr>
          <w:rFonts w:asciiTheme="majorHAnsi" w:hAnsiTheme="majorHAnsi" w:cstheme="majorHAnsi"/>
          <w:sz w:val="28"/>
          <w:szCs w:val="28"/>
        </w:rPr>
        <w:t>Trong quá trình tiến hành cổ phần hóa gắn liền với việc thực hiện dự án Trung tâm Hội chợ triển lãm Quốc gia, mặc dù</w:t>
      </w:r>
      <w:r w:rsidR="003C4D25">
        <w:rPr>
          <w:rFonts w:asciiTheme="majorHAnsi" w:hAnsiTheme="majorHAnsi" w:cstheme="majorHAnsi"/>
          <w:sz w:val="28"/>
          <w:szCs w:val="28"/>
        </w:rPr>
        <w:t xml:space="preserve"> Thủ tướng</w:t>
      </w:r>
      <w:r w:rsidRPr="00A67142">
        <w:rPr>
          <w:rFonts w:asciiTheme="majorHAnsi" w:hAnsiTheme="majorHAnsi" w:cstheme="majorHAnsi"/>
          <w:sz w:val="28"/>
          <w:szCs w:val="28"/>
        </w:rPr>
        <w:t xml:space="preserve"> Chính phủ đã chấp thuận:</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Hình thức cổ phần hóa</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 xml:space="preserve">Tỷ lệ cơ cấu vốn điều lệ ban đầu của Công ty cổ phần VEFAC </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Nhà đầu tư chiến lược</w:t>
      </w:r>
    </w:p>
    <w:p w:rsidR="008F7FF2" w:rsidRPr="00A67142" w:rsidRDefault="008F7FF2" w:rsidP="003C4D25">
      <w:pPr>
        <w:spacing w:line="360" w:lineRule="atLeast"/>
        <w:ind w:firstLine="567"/>
        <w:jc w:val="both"/>
        <w:rPr>
          <w:rFonts w:asciiTheme="majorHAnsi" w:hAnsiTheme="majorHAnsi" w:cstheme="majorHAnsi"/>
          <w:sz w:val="28"/>
          <w:szCs w:val="28"/>
        </w:rPr>
      </w:pPr>
      <w:r w:rsidRPr="00A67142">
        <w:rPr>
          <w:rFonts w:asciiTheme="majorHAnsi" w:hAnsiTheme="majorHAnsi" w:cstheme="majorHAnsi"/>
          <w:sz w:val="28"/>
          <w:szCs w:val="28"/>
        </w:rPr>
        <w:t xml:space="preserve">Hiện tại vẫn còn nhiều nội dung liên quan đến dự án chưa xác định, phải chờ quyết định của </w:t>
      </w:r>
      <w:r w:rsidR="003C4D25">
        <w:rPr>
          <w:rFonts w:asciiTheme="majorHAnsi" w:hAnsiTheme="majorHAnsi" w:cstheme="majorHAnsi"/>
          <w:sz w:val="28"/>
          <w:szCs w:val="28"/>
        </w:rPr>
        <w:t xml:space="preserve">Thủ tướng </w:t>
      </w:r>
      <w:r w:rsidRPr="00A67142">
        <w:rPr>
          <w:rFonts w:asciiTheme="majorHAnsi" w:hAnsiTheme="majorHAnsi" w:cstheme="majorHAnsi"/>
          <w:sz w:val="28"/>
          <w:szCs w:val="28"/>
        </w:rPr>
        <w:t>Chính phủ và cơ quan có thẩm quyền mà Công ty cổ phần VEFAC phải chấp hành, cụ thể:</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Vị trí, quy mô, quy hoạch đất dự án tại Nhật Tân – Nội Bài, Mễ Trì trên cơ sở Bộ Văn hóa, Thể thao và Du lịch làm việc với UBND thành phố Hà Nội và Bộ Xây dựng trình Thủ tướng Chính phủ xem xét, quyết định. Đối với quy hoạch của Dự án Giảng Võ, trên cơ sở được sự chấp thuận của Thủ tướng Chính phủ, UBND thành phố Hà Nội phê duyệt.</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 xml:space="preserve">Trong dự án Nhật Tân – Nội Bài có khu Hội chợ triển lãm Quốc gia được </w:t>
      </w:r>
      <w:r w:rsidRPr="00A67142">
        <w:rPr>
          <w:rFonts w:asciiTheme="majorHAnsi" w:hAnsiTheme="majorHAnsi" w:cstheme="majorHAnsi"/>
          <w:b/>
          <w:sz w:val="28"/>
          <w:szCs w:val="28"/>
        </w:rPr>
        <w:t>đầu tư khoảng 4 nghìn tỷ đồng</w:t>
      </w:r>
      <w:r w:rsidRPr="00A67142">
        <w:rPr>
          <w:rFonts w:asciiTheme="majorHAnsi" w:hAnsiTheme="majorHAnsi" w:cstheme="majorHAnsi"/>
          <w:sz w:val="28"/>
          <w:szCs w:val="28"/>
        </w:rPr>
        <w:t xml:space="preserve">, với quy mô hiện đại để tổ chức các sự kiện mang tầm quốc gia, quốc tế và mang tính biểu tượng của Thủ đô. Khu hội chợ triển lãm Quốc gia sẽ được quy hoạch bởi các nhà thiết kế nổi </w:t>
      </w:r>
      <w:r w:rsidRPr="00A67142">
        <w:rPr>
          <w:rFonts w:asciiTheme="majorHAnsi" w:hAnsiTheme="majorHAnsi" w:cstheme="majorHAnsi"/>
          <w:sz w:val="28"/>
          <w:szCs w:val="28"/>
        </w:rPr>
        <w:lastRenderedPageBreak/>
        <w:t xml:space="preserve">tiếng và được tổ chức thi tuyển ý tưởng quy hoạch kiến trúc. Mọi hoạt động của khu hội chợ triển lãm Quốc gia </w:t>
      </w:r>
      <w:r w:rsidRPr="00A67142">
        <w:rPr>
          <w:rFonts w:asciiTheme="majorHAnsi" w:hAnsiTheme="majorHAnsi" w:cstheme="majorHAnsi"/>
          <w:b/>
          <w:sz w:val="28"/>
          <w:szCs w:val="28"/>
        </w:rPr>
        <w:t>không vì mục tiêu lợi nhuận</w:t>
      </w:r>
      <w:r w:rsidRPr="00A67142">
        <w:rPr>
          <w:rFonts w:asciiTheme="majorHAnsi" w:hAnsiTheme="majorHAnsi" w:cstheme="majorHAnsi"/>
          <w:sz w:val="28"/>
          <w:szCs w:val="28"/>
        </w:rPr>
        <w:t>, vì vậy theo chỉ đạo của</w:t>
      </w:r>
      <w:r w:rsidR="003C4D25">
        <w:rPr>
          <w:rFonts w:asciiTheme="majorHAnsi" w:hAnsiTheme="majorHAnsi" w:cstheme="majorHAnsi"/>
          <w:sz w:val="28"/>
          <w:szCs w:val="28"/>
        </w:rPr>
        <w:t xml:space="preserve"> Thủ tướng</w:t>
      </w:r>
      <w:r w:rsidRPr="00A67142">
        <w:rPr>
          <w:rFonts w:asciiTheme="majorHAnsi" w:hAnsiTheme="majorHAnsi" w:cstheme="majorHAnsi"/>
          <w:sz w:val="28"/>
          <w:szCs w:val="28"/>
        </w:rPr>
        <w:t xml:space="preserve"> Chính phủ: Bộ Văn hóa, Thể thao và Du lịch, Bộ Tài chính, Bộ Kế hoạch và Đầu tư và các Bộ ngành liên quan xây dựng cơ chế tài chính phát triển dự án trình Thủ tướng Chính phủ phê duyệt. </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b/>
          <w:sz w:val="28"/>
          <w:szCs w:val="28"/>
        </w:rPr>
      </w:pPr>
      <w:r w:rsidRPr="00A67142">
        <w:rPr>
          <w:rFonts w:asciiTheme="majorHAnsi" w:hAnsiTheme="majorHAnsi" w:cstheme="majorHAnsi"/>
          <w:b/>
          <w:sz w:val="28"/>
          <w:szCs w:val="28"/>
        </w:rPr>
        <w:t>Giá trị tiền sử dụng đất</w:t>
      </w:r>
      <w:r w:rsidRPr="00A67142">
        <w:rPr>
          <w:rFonts w:asciiTheme="majorHAnsi" w:hAnsiTheme="majorHAnsi" w:cstheme="majorHAnsi"/>
          <w:sz w:val="28"/>
          <w:szCs w:val="28"/>
        </w:rPr>
        <w:t xml:space="preserve"> của các dự án, trong đó có khu đất tại 148 Giảng Võ, Công ty cổ phần VEFAC (trong đó nhà đầu tư chiến lược chiếm 80% vốn điều lệ) </w:t>
      </w:r>
      <w:r w:rsidRPr="00A67142">
        <w:rPr>
          <w:rFonts w:asciiTheme="majorHAnsi" w:hAnsiTheme="majorHAnsi" w:cstheme="majorHAnsi"/>
          <w:b/>
          <w:sz w:val="28"/>
          <w:szCs w:val="28"/>
        </w:rPr>
        <w:t xml:space="preserve">cònphải trả theo đúng quy định của Nhà nước, trong đó có luật Đất đai, </w:t>
      </w:r>
      <w:r w:rsidRPr="00A67142">
        <w:rPr>
          <w:rFonts w:asciiTheme="majorHAnsi" w:hAnsiTheme="majorHAnsi" w:cstheme="majorHAnsi"/>
          <w:sz w:val="28"/>
          <w:szCs w:val="28"/>
        </w:rPr>
        <w:t>được UBND thành phố Hà Nội và cơ quan có thẩm quyền phê duyệt.</w:t>
      </w:r>
    </w:p>
    <w:p w:rsidR="008F7FF2" w:rsidRPr="00A67142" w:rsidRDefault="008F7FF2" w:rsidP="003C4D25">
      <w:pPr>
        <w:spacing w:line="360" w:lineRule="atLeast"/>
        <w:ind w:firstLine="567"/>
        <w:jc w:val="both"/>
        <w:rPr>
          <w:rFonts w:asciiTheme="majorHAnsi" w:hAnsiTheme="majorHAnsi" w:cstheme="majorHAnsi"/>
          <w:sz w:val="28"/>
          <w:szCs w:val="28"/>
        </w:rPr>
      </w:pPr>
      <w:r w:rsidRPr="00A67142">
        <w:rPr>
          <w:rFonts w:asciiTheme="majorHAnsi" w:hAnsiTheme="majorHAnsi" w:cstheme="majorHAnsi"/>
          <w:sz w:val="28"/>
          <w:szCs w:val="28"/>
        </w:rPr>
        <w:t>Ngoài ra, Nhà đầu tư chiến lược phải chấp nhận nhiều điều kiện, trong đó có:</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 xml:space="preserve">Tuy </w:t>
      </w:r>
      <w:r w:rsidRPr="00A67142">
        <w:rPr>
          <w:rFonts w:asciiTheme="majorHAnsi" w:hAnsiTheme="majorHAnsi" w:cstheme="majorHAnsi"/>
          <w:b/>
          <w:sz w:val="28"/>
          <w:szCs w:val="28"/>
        </w:rPr>
        <w:t>cổ đông Nhà nước</w:t>
      </w:r>
      <w:r w:rsidRPr="00A67142">
        <w:rPr>
          <w:rFonts w:asciiTheme="majorHAnsi" w:hAnsiTheme="majorHAnsi" w:cstheme="majorHAnsi"/>
          <w:sz w:val="28"/>
          <w:szCs w:val="28"/>
        </w:rPr>
        <w:t xml:space="preserve"> không nắm cổ phần chi phối (hiện nay cổ đông Nhà nước giữ 10% vốn điều lệ ban đầu) nhưng </w:t>
      </w:r>
      <w:r w:rsidRPr="00A67142">
        <w:rPr>
          <w:rFonts w:asciiTheme="majorHAnsi" w:hAnsiTheme="majorHAnsi" w:cstheme="majorHAnsi"/>
          <w:b/>
          <w:sz w:val="28"/>
          <w:szCs w:val="28"/>
        </w:rPr>
        <w:t>có quyền phủ quyết</w:t>
      </w:r>
      <w:r w:rsidRPr="00A67142">
        <w:rPr>
          <w:rFonts w:asciiTheme="majorHAnsi" w:hAnsiTheme="majorHAnsi" w:cstheme="majorHAnsi"/>
          <w:sz w:val="28"/>
          <w:szCs w:val="28"/>
        </w:rPr>
        <w:t xml:space="preserve"> nếu Công Ty Cổ Phần VEFAC vi phạm đối với các vấn đề liên quan đến Khu Hội Chợ Triển Lãm Quốc Gia thuộc Dự Án Nhật Tân – Nội Bài, bao gồm: (i) điều chỉnh đối với nội dung quy hoạch xây dựng chi tiết tỷ lệ 1/500 đã được phê duyệt; (ii) điều chỉnh hoặc thay đổi các hạng mục công trình xây dựng khác biệt so với quy hoạch 1/500 đã được phê duyệt; (iii) kéo dài tiến độ thực hiện dự án mà không có lý do chính đáng được cơ quan Nhà nước có thẩm quyền phê duyệt; (iv) vận hành và quản lý các hạng mục Khu hội chợ triển lãm Quốc gia và toàn bộ hạ tầng của Dự Án Nhật Tân – Nội Bài trái với các nội dung cam kết của Nhà đầu tư chiến lược tại Hợp Đồng này; và (v) Triển khai công nghệ phục vụ cho Khu Hội Chợ Triển Lãm Quốc Gia không phù hợp với thời điểm đầu tư hoặc trái với công nghệ đã được cơ quan Nhà nước có thẩm quyền phê duyệt; </w:t>
      </w:r>
    </w:p>
    <w:p w:rsidR="00067C96" w:rsidRPr="00812D4C" w:rsidRDefault="008F7FF2" w:rsidP="00812D4C">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 xml:space="preserve">Phải </w:t>
      </w:r>
      <w:r w:rsidRPr="00A67142">
        <w:rPr>
          <w:rFonts w:asciiTheme="majorHAnsi" w:hAnsiTheme="majorHAnsi" w:cstheme="majorHAnsi"/>
          <w:b/>
          <w:sz w:val="28"/>
          <w:szCs w:val="28"/>
        </w:rPr>
        <w:t>bảo đảm tính liên tục</w:t>
      </w:r>
      <w:r w:rsidRPr="00A67142">
        <w:rPr>
          <w:rFonts w:asciiTheme="majorHAnsi" w:hAnsiTheme="majorHAnsi" w:cstheme="majorHAnsi"/>
          <w:sz w:val="28"/>
          <w:szCs w:val="28"/>
        </w:rPr>
        <w:t xml:space="preserve"> việc tổ chức hội chợ triển lãm, tức là Dự án Giảng Võ chỉ được xây dựng khi hoạt động tổ chức hội chợ triển lãm đã được chuyển về Khu Hội chợ Triển lãm Quốc gia mới;</w:t>
      </w:r>
      <w:r w:rsidR="00812D4C">
        <w:rPr>
          <w:rFonts w:asciiTheme="majorHAnsi" w:hAnsiTheme="majorHAnsi" w:cstheme="majorHAnsi"/>
          <w:sz w:val="28"/>
          <w:szCs w:val="28"/>
        </w:rPr>
        <w:t xml:space="preserve"> c</w:t>
      </w:r>
      <w:r w:rsidR="00067C96" w:rsidRPr="00812D4C">
        <w:rPr>
          <w:rFonts w:asciiTheme="majorHAnsi" w:hAnsiTheme="majorHAnsi" w:cstheme="majorHAnsi"/>
          <w:sz w:val="28"/>
          <w:szCs w:val="28"/>
        </w:rPr>
        <w:t>hậm nhất 3 năm kể từ khi Công Ty Cổ Phần VEFAC được nhận mặt bằng, giai đoạn 1 của Khu Hội Chợ Triển Lãm Quốc Gia phải được hoàn thành</w:t>
      </w:r>
      <w:r w:rsidR="00812D4C">
        <w:rPr>
          <w:rFonts w:asciiTheme="majorHAnsi" w:hAnsiTheme="majorHAnsi" w:cstheme="majorHAnsi"/>
          <w:sz w:val="28"/>
          <w:szCs w:val="28"/>
        </w:rPr>
        <w:t>.</w:t>
      </w:r>
    </w:p>
    <w:p w:rsidR="008F7FF2" w:rsidRPr="00A67142" w:rsidRDefault="008F7FF2" w:rsidP="003C4D25">
      <w:pPr>
        <w:pStyle w:val="ListParagraph"/>
        <w:numPr>
          <w:ilvl w:val="0"/>
          <w:numId w:val="3"/>
        </w:numPr>
        <w:spacing w:after="160" w:line="360" w:lineRule="atLeast"/>
        <w:jc w:val="both"/>
        <w:rPr>
          <w:rFonts w:asciiTheme="majorHAnsi" w:hAnsiTheme="majorHAnsi" w:cstheme="majorHAnsi"/>
          <w:sz w:val="28"/>
          <w:szCs w:val="28"/>
        </w:rPr>
      </w:pPr>
      <w:r w:rsidRPr="00A67142">
        <w:rPr>
          <w:rFonts w:asciiTheme="majorHAnsi" w:hAnsiTheme="majorHAnsi" w:cstheme="majorHAnsi"/>
          <w:sz w:val="28"/>
          <w:szCs w:val="28"/>
        </w:rPr>
        <w:t xml:space="preserve">Nếu không thực hiện đúng nội dung đầu tư đã được cơ quan Nhà nước có thẩm quyền phê duyệt liên quan đến Khu hội chợ triển lãm Quốc gia như đã được các cấp có thẩm quyền phê duyệt thì bị cơ quan Nhà nước có thẩm quyền </w:t>
      </w:r>
      <w:r w:rsidRPr="00A67142">
        <w:rPr>
          <w:rFonts w:asciiTheme="majorHAnsi" w:hAnsiTheme="majorHAnsi" w:cstheme="majorHAnsi"/>
          <w:b/>
          <w:sz w:val="28"/>
          <w:szCs w:val="28"/>
        </w:rPr>
        <w:t>tước quyền làm Nhà đầu tư chiến lược và không được bồi hoàn các khoản đã nộp và đầu tư, góp vốn điều lệ khi Nhà đầu tư chiến lược vi phạm</w:t>
      </w:r>
    </w:p>
    <w:p w:rsidR="00A67142" w:rsidRDefault="00A67142" w:rsidP="003C4D25">
      <w:pPr>
        <w:spacing w:after="160" w:line="360" w:lineRule="atLeast"/>
        <w:jc w:val="both"/>
        <w:rPr>
          <w:rFonts w:asciiTheme="majorHAnsi" w:hAnsiTheme="majorHAnsi" w:cstheme="majorHAnsi"/>
          <w:sz w:val="28"/>
          <w:szCs w:val="28"/>
        </w:rPr>
      </w:pPr>
    </w:p>
    <w:p w:rsidR="00A67142" w:rsidRDefault="00A67142" w:rsidP="003C4D25">
      <w:pPr>
        <w:spacing w:after="160" w:line="360" w:lineRule="atLeast"/>
        <w:jc w:val="both"/>
        <w:rPr>
          <w:rFonts w:asciiTheme="majorHAnsi" w:hAnsiTheme="majorHAnsi" w:cstheme="majorHAnsi"/>
          <w:sz w:val="28"/>
          <w:szCs w:val="28"/>
        </w:rPr>
      </w:pPr>
    </w:p>
    <w:p w:rsidR="008F181D" w:rsidRPr="00A67142" w:rsidRDefault="008F181D" w:rsidP="003C4D25">
      <w:pPr>
        <w:spacing w:after="240" w:line="360" w:lineRule="atLeast"/>
        <w:ind w:firstLine="720"/>
        <w:jc w:val="both"/>
        <w:rPr>
          <w:rFonts w:asciiTheme="majorHAnsi" w:hAnsiTheme="majorHAnsi" w:cstheme="majorHAnsi"/>
          <w:sz w:val="28"/>
          <w:szCs w:val="28"/>
          <w:lang w:val="vi-VN"/>
        </w:rPr>
      </w:pPr>
      <w:r w:rsidRPr="00A67142">
        <w:rPr>
          <w:rFonts w:asciiTheme="majorHAnsi" w:hAnsiTheme="majorHAnsi" w:cstheme="majorHAnsi"/>
          <w:sz w:val="28"/>
          <w:szCs w:val="28"/>
          <w:lang w:val="vi-VN"/>
        </w:rPr>
        <w:t xml:space="preserve">Vậy, Ban chỉ đạo cổ phần hóa Công ty VEFAC </w:t>
      </w:r>
      <w:r w:rsidR="00ED34AE" w:rsidRPr="00A67142">
        <w:rPr>
          <w:rFonts w:asciiTheme="majorHAnsi" w:hAnsiTheme="majorHAnsi" w:cstheme="majorHAnsi"/>
          <w:sz w:val="28"/>
          <w:szCs w:val="28"/>
          <w:lang w:val="vi-VN"/>
        </w:rPr>
        <w:t xml:space="preserve">xin </w:t>
      </w:r>
      <w:r w:rsidR="001F789A" w:rsidRPr="00A67142">
        <w:rPr>
          <w:rFonts w:asciiTheme="majorHAnsi" w:hAnsiTheme="majorHAnsi" w:cstheme="majorHAnsi"/>
          <w:sz w:val="28"/>
          <w:szCs w:val="28"/>
          <w:lang w:val="vi-VN"/>
        </w:rPr>
        <w:t>bổ sung</w:t>
      </w:r>
      <w:r w:rsidR="00ED34AE" w:rsidRPr="00A67142">
        <w:rPr>
          <w:rFonts w:asciiTheme="majorHAnsi" w:hAnsiTheme="majorHAnsi" w:cstheme="majorHAnsi"/>
          <w:sz w:val="28"/>
          <w:szCs w:val="28"/>
          <w:lang w:val="vi-VN"/>
        </w:rPr>
        <w:t xml:space="preserve"> các nội dung như đã nêu trên để </w:t>
      </w:r>
      <w:r w:rsidRPr="00A67142">
        <w:rPr>
          <w:rFonts w:asciiTheme="majorHAnsi" w:hAnsiTheme="majorHAnsi" w:cstheme="majorHAnsi"/>
          <w:sz w:val="28"/>
          <w:szCs w:val="28"/>
          <w:lang w:val="vi-VN"/>
        </w:rPr>
        <w:t xml:space="preserve">Sở Giao dịch chứng khoán Hà Nội </w:t>
      </w:r>
      <w:r w:rsidR="00ED34AE" w:rsidRPr="00A67142">
        <w:rPr>
          <w:rFonts w:asciiTheme="majorHAnsi" w:hAnsiTheme="majorHAnsi" w:cstheme="majorHAnsi"/>
          <w:sz w:val="28"/>
          <w:szCs w:val="28"/>
          <w:lang w:val="vi-VN"/>
        </w:rPr>
        <w:t xml:space="preserve">và các nhà đầu tư </w:t>
      </w:r>
      <w:r w:rsidRPr="00A67142">
        <w:rPr>
          <w:rFonts w:asciiTheme="majorHAnsi" w:hAnsiTheme="majorHAnsi" w:cstheme="majorHAnsi"/>
          <w:sz w:val="28"/>
          <w:szCs w:val="28"/>
          <w:lang w:val="vi-VN"/>
        </w:rPr>
        <w:t>được biết.</w:t>
      </w:r>
    </w:p>
    <w:p w:rsidR="00666830" w:rsidRPr="00E20610" w:rsidRDefault="00666830" w:rsidP="00EA40C3">
      <w:pPr>
        <w:spacing w:after="240" w:line="240" w:lineRule="auto"/>
        <w:ind w:firstLine="720"/>
        <w:jc w:val="both"/>
        <w:rPr>
          <w:rFonts w:asciiTheme="majorHAnsi" w:hAnsiTheme="majorHAnsi" w:cstheme="majorHAnsi"/>
          <w:sz w:val="26"/>
          <w:szCs w:val="26"/>
          <w:lang w:val="vi-VN"/>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8"/>
        <w:gridCol w:w="4843"/>
      </w:tblGrid>
      <w:tr w:rsidR="00E20610" w:rsidRPr="00E20610" w:rsidTr="002B7F2C">
        <w:tc>
          <w:tcPr>
            <w:tcW w:w="4508" w:type="dxa"/>
          </w:tcPr>
          <w:p w:rsidR="008F181D" w:rsidRPr="00E20610" w:rsidRDefault="008F181D" w:rsidP="005D3282">
            <w:pPr>
              <w:spacing w:after="0"/>
              <w:jc w:val="both"/>
              <w:rPr>
                <w:rFonts w:asciiTheme="majorHAnsi" w:hAnsiTheme="majorHAnsi" w:cstheme="majorHAnsi"/>
                <w:b/>
                <w:i/>
                <w:sz w:val="36"/>
                <w:szCs w:val="36"/>
                <w:lang w:val="vi-VN"/>
              </w:rPr>
            </w:pPr>
            <w:r w:rsidRPr="00E20610">
              <w:rPr>
                <w:rFonts w:asciiTheme="majorHAnsi" w:hAnsiTheme="majorHAnsi" w:cstheme="majorHAnsi"/>
                <w:b/>
                <w:i/>
                <w:sz w:val="24"/>
                <w:szCs w:val="24"/>
                <w:lang w:val="vi-VN"/>
              </w:rPr>
              <w:t>Nơi nhận:</w:t>
            </w:r>
          </w:p>
          <w:p w:rsidR="008F181D" w:rsidRPr="00E20610" w:rsidRDefault="008F181D" w:rsidP="008F7FF2">
            <w:pPr>
              <w:pStyle w:val="ListParagraph"/>
              <w:numPr>
                <w:ilvl w:val="0"/>
                <w:numId w:val="2"/>
              </w:numPr>
              <w:spacing w:after="0"/>
              <w:jc w:val="both"/>
              <w:rPr>
                <w:rFonts w:asciiTheme="majorHAnsi" w:hAnsiTheme="majorHAnsi" w:cstheme="majorHAnsi"/>
                <w:sz w:val="24"/>
                <w:szCs w:val="24"/>
                <w:lang w:val="vi-VN"/>
              </w:rPr>
            </w:pPr>
            <w:r w:rsidRPr="00E20610">
              <w:rPr>
                <w:rFonts w:asciiTheme="majorHAnsi" w:hAnsiTheme="majorHAnsi" w:cstheme="majorHAnsi"/>
                <w:sz w:val="24"/>
                <w:szCs w:val="24"/>
                <w:lang w:val="vi-VN"/>
              </w:rPr>
              <w:t>Như trên</w:t>
            </w:r>
            <w:r w:rsidR="00666830" w:rsidRPr="00E20610">
              <w:rPr>
                <w:rFonts w:asciiTheme="majorHAnsi" w:hAnsiTheme="majorHAnsi" w:cstheme="majorHAnsi"/>
                <w:sz w:val="24"/>
                <w:szCs w:val="24"/>
                <w:lang w:val="vi-VN"/>
              </w:rPr>
              <w:t>,</w:t>
            </w:r>
          </w:p>
          <w:p w:rsidR="008F6C0C" w:rsidRPr="002F6763" w:rsidRDefault="00666830" w:rsidP="008F6C0C">
            <w:pPr>
              <w:pStyle w:val="ListParagraph"/>
              <w:numPr>
                <w:ilvl w:val="0"/>
                <w:numId w:val="2"/>
              </w:numPr>
              <w:spacing w:after="0"/>
              <w:jc w:val="both"/>
              <w:rPr>
                <w:rFonts w:asciiTheme="majorHAnsi" w:hAnsiTheme="majorHAnsi" w:cstheme="majorHAnsi"/>
                <w:sz w:val="24"/>
                <w:szCs w:val="24"/>
                <w:lang w:val="vi-VN"/>
              </w:rPr>
            </w:pPr>
            <w:r w:rsidRPr="002F6763">
              <w:rPr>
                <w:rFonts w:asciiTheme="majorHAnsi" w:hAnsiTheme="majorHAnsi" w:cstheme="majorHAnsi"/>
                <w:sz w:val="24"/>
                <w:szCs w:val="24"/>
                <w:lang w:val="vi-VN"/>
              </w:rPr>
              <w:t>Ban chỉ đạo CPH;</w:t>
            </w:r>
            <w:r w:rsidR="003C4D25">
              <w:rPr>
                <w:rFonts w:asciiTheme="majorHAnsi" w:hAnsiTheme="majorHAnsi" w:cstheme="majorHAnsi"/>
                <w:sz w:val="24"/>
                <w:szCs w:val="24"/>
              </w:rPr>
              <w:t xml:space="preserve">Công ty </w:t>
            </w:r>
            <w:r w:rsidR="00E20610" w:rsidRPr="002F6763">
              <w:rPr>
                <w:rFonts w:asciiTheme="majorHAnsi" w:hAnsiTheme="majorHAnsi" w:cstheme="majorHAnsi"/>
                <w:sz w:val="24"/>
                <w:szCs w:val="24"/>
                <w:lang w:val="vi-VN"/>
              </w:rPr>
              <w:t xml:space="preserve">VEFAC; </w:t>
            </w:r>
            <w:r w:rsidR="003C4D25">
              <w:rPr>
                <w:rFonts w:asciiTheme="majorHAnsi" w:hAnsiTheme="majorHAnsi" w:cstheme="majorHAnsi"/>
                <w:sz w:val="24"/>
                <w:szCs w:val="24"/>
              </w:rPr>
              <w:t xml:space="preserve">Công ty </w:t>
            </w:r>
            <w:r w:rsidR="008F6C0C" w:rsidRPr="002F6763">
              <w:rPr>
                <w:rFonts w:asciiTheme="majorHAnsi" w:hAnsiTheme="majorHAnsi" w:cstheme="majorHAnsi"/>
                <w:sz w:val="24"/>
                <w:szCs w:val="24"/>
                <w:lang w:val="vi-VN"/>
              </w:rPr>
              <w:t>Tư vấn</w:t>
            </w:r>
          </w:p>
          <w:p w:rsidR="008F181D" w:rsidRPr="00D1389E" w:rsidRDefault="008F181D" w:rsidP="005D3282">
            <w:pPr>
              <w:pStyle w:val="ListParagraph"/>
              <w:numPr>
                <w:ilvl w:val="0"/>
                <w:numId w:val="2"/>
              </w:numPr>
              <w:spacing w:after="0"/>
              <w:jc w:val="both"/>
              <w:rPr>
                <w:rFonts w:asciiTheme="majorHAnsi" w:hAnsiTheme="majorHAnsi" w:cstheme="majorHAnsi"/>
                <w:sz w:val="26"/>
                <w:szCs w:val="26"/>
                <w:lang w:val="vi-VN"/>
              </w:rPr>
            </w:pPr>
            <w:r w:rsidRPr="00D1389E">
              <w:rPr>
                <w:rFonts w:asciiTheme="majorHAnsi" w:hAnsiTheme="majorHAnsi" w:cstheme="majorHAnsi"/>
                <w:sz w:val="24"/>
                <w:szCs w:val="24"/>
                <w:lang w:val="vi-VN"/>
              </w:rPr>
              <w:t>Lưu VT, hồ sơ CPH</w:t>
            </w:r>
            <w:r w:rsidR="00A67142">
              <w:rPr>
                <w:rFonts w:asciiTheme="majorHAnsi" w:hAnsiTheme="majorHAnsi" w:cstheme="majorHAnsi"/>
                <w:sz w:val="24"/>
                <w:szCs w:val="24"/>
              </w:rPr>
              <w:t>.</w:t>
            </w:r>
          </w:p>
        </w:tc>
        <w:tc>
          <w:tcPr>
            <w:tcW w:w="4843" w:type="dxa"/>
          </w:tcPr>
          <w:p w:rsidR="008F181D" w:rsidRPr="00E20610" w:rsidRDefault="008F181D" w:rsidP="005D3282">
            <w:pPr>
              <w:spacing w:after="0" w:line="240" w:lineRule="auto"/>
              <w:jc w:val="center"/>
              <w:rPr>
                <w:rFonts w:ascii="Times New Roman" w:hAnsi="Times New Roman"/>
                <w:b/>
              </w:rPr>
            </w:pPr>
            <w:r w:rsidRPr="00E20610">
              <w:rPr>
                <w:rFonts w:ascii="Times New Roman" w:hAnsi="Times New Roman"/>
                <w:b/>
              </w:rPr>
              <w:t>TM BAN CHỈ ĐẠO</w:t>
            </w:r>
          </w:p>
          <w:p w:rsidR="008F181D" w:rsidRPr="00E20610" w:rsidRDefault="008F181D" w:rsidP="005D3282">
            <w:pPr>
              <w:spacing w:after="0" w:line="240" w:lineRule="auto"/>
              <w:jc w:val="center"/>
              <w:rPr>
                <w:rFonts w:asciiTheme="majorHAnsi" w:hAnsiTheme="majorHAnsi" w:cstheme="majorHAnsi"/>
                <w:b/>
              </w:rPr>
            </w:pPr>
            <w:r w:rsidRPr="00E20610">
              <w:rPr>
                <w:rFonts w:ascii="Times New Roman" w:hAnsi="Times New Roman"/>
                <w:b/>
              </w:rPr>
              <w:t>PHÓ TRƯỞNG BAN</w:t>
            </w:r>
            <w:r w:rsidRPr="00E20610">
              <w:rPr>
                <w:rFonts w:asciiTheme="majorHAnsi" w:hAnsiTheme="majorHAnsi" w:cstheme="majorHAnsi"/>
                <w:b/>
              </w:rPr>
              <w:t xml:space="preserve"> THƯỜNG TRỰC</w:t>
            </w:r>
          </w:p>
          <w:p w:rsidR="008F181D" w:rsidRPr="00E20610" w:rsidRDefault="008F181D" w:rsidP="008F181D">
            <w:pPr>
              <w:jc w:val="center"/>
              <w:rPr>
                <w:rFonts w:asciiTheme="majorHAnsi" w:hAnsiTheme="majorHAnsi" w:cstheme="majorHAnsi"/>
                <w:b/>
                <w:sz w:val="26"/>
                <w:szCs w:val="26"/>
              </w:rPr>
            </w:pPr>
          </w:p>
          <w:p w:rsidR="001F789A" w:rsidRPr="00E20610" w:rsidRDefault="00BF7A1E" w:rsidP="008F181D">
            <w:pPr>
              <w:jc w:val="center"/>
              <w:rPr>
                <w:rFonts w:asciiTheme="majorHAnsi" w:hAnsiTheme="majorHAnsi" w:cstheme="majorHAnsi"/>
                <w:b/>
                <w:sz w:val="26"/>
                <w:szCs w:val="26"/>
              </w:rPr>
            </w:pPr>
            <w:r>
              <w:rPr>
                <w:rFonts w:asciiTheme="majorHAnsi" w:hAnsiTheme="majorHAnsi" w:cstheme="majorHAnsi"/>
                <w:b/>
                <w:sz w:val="26"/>
                <w:szCs w:val="26"/>
              </w:rPr>
              <w:t>(đã ký)</w:t>
            </w:r>
          </w:p>
          <w:p w:rsidR="004B0148" w:rsidRPr="00E20610" w:rsidRDefault="004B0148" w:rsidP="008F181D">
            <w:pPr>
              <w:jc w:val="center"/>
              <w:rPr>
                <w:rFonts w:asciiTheme="majorHAnsi" w:hAnsiTheme="majorHAnsi" w:cstheme="majorHAnsi"/>
                <w:b/>
                <w:sz w:val="26"/>
                <w:szCs w:val="26"/>
              </w:rPr>
            </w:pPr>
          </w:p>
          <w:p w:rsidR="008F181D" w:rsidRPr="003C4D25" w:rsidRDefault="008F181D" w:rsidP="008F181D">
            <w:pPr>
              <w:jc w:val="center"/>
              <w:rPr>
                <w:rFonts w:asciiTheme="majorHAnsi" w:hAnsiTheme="majorHAnsi" w:cstheme="majorHAnsi"/>
                <w:sz w:val="28"/>
                <w:szCs w:val="28"/>
              </w:rPr>
            </w:pPr>
            <w:r w:rsidRPr="003C4D25">
              <w:rPr>
                <w:rFonts w:asciiTheme="majorHAnsi" w:hAnsiTheme="majorHAnsi" w:cstheme="majorHAnsi"/>
                <w:b/>
                <w:sz w:val="28"/>
                <w:szCs w:val="28"/>
              </w:rPr>
              <w:t>Trần Văn Tân</w:t>
            </w:r>
          </w:p>
        </w:tc>
      </w:tr>
    </w:tbl>
    <w:p w:rsidR="00E97C72" w:rsidRDefault="00E97C72" w:rsidP="004B0148">
      <w:pPr>
        <w:jc w:val="both"/>
        <w:rPr>
          <w:rFonts w:asciiTheme="majorHAnsi" w:hAnsiTheme="majorHAnsi" w:cstheme="majorHAnsi"/>
          <w:sz w:val="26"/>
          <w:szCs w:val="26"/>
        </w:rPr>
      </w:pPr>
    </w:p>
    <w:p w:rsidR="00A67142" w:rsidRDefault="00A67142" w:rsidP="004B0148">
      <w:pPr>
        <w:jc w:val="both"/>
        <w:rPr>
          <w:rFonts w:asciiTheme="majorHAnsi" w:hAnsiTheme="majorHAnsi" w:cstheme="majorHAns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4"/>
        <w:gridCol w:w="4774"/>
      </w:tblGrid>
      <w:tr w:rsidR="008F6C0C" w:rsidTr="002410BE">
        <w:tc>
          <w:tcPr>
            <w:tcW w:w="4774" w:type="dxa"/>
          </w:tcPr>
          <w:p w:rsidR="00D26B35" w:rsidRDefault="00D26B35" w:rsidP="002410BE">
            <w:pPr>
              <w:spacing w:after="0" w:line="240" w:lineRule="auto"/>
              <w:jc w:val="center"/>
              <w:rPr>
                <w:rFonts w:ascii="Times New Roman" w:hAnsi="Times New Roman"/>
                <w:b/>
              </w:rPr>
            </w:pPr>
            <w:r>
              <w:rPr>
                <w:rFonts w:ascii="Times New Roman" w:hAnsi="Times New Roman"/>
                <w:b/>
              </w:rPr>
              <w:t>TỔ CHỨC PHÁT HÀNH</w:t>
            </w:r>
          </w:p>
          <w:p w:rsidR="009D268B" w:rsidRDefault="002410BE" w:rsidP="002410BE">
            <w:pPr>
              <w:spacing w:after="0" w:line="240" w:lineRule="auto"/>
              <w:jc w:val="center"/>
              <w:rPr>
                <w:rFonts w:ascii="Times New Roman" w:hAnsi="Times New Roman"/>
                <w:b/>
              </w:rPr>
            </w:pPr>
            <w:r w:rsidRPr="002410BE">
              <w:rPr>
                <w:rFonts w:ascii="Times New Roman" w:hAnsi="Times New Roman"/>
                <w:b/>
              </w:rPr>
              <w:t xml:space="preserve">CÔNG TY TNHH MTV TRUNG TÂM </w:t>
            </w:r>
          </w:p>
          <w:p w:rsidR="008F6C0C" w:rsidRPr="002410BE" w:rsidRDefault="002410BE" w:rsidP="002410BE">
            <w:pPr>
              <w:spacing w:after="0" w:line="240" w:lineRule="auto"/>
              <w:jc w:val="center"/>
              <w:rPr>
                <w:rFonts w:ascii="Times New Roman" w:hAnsi="Times New Roman"/>
                <w:b/>
              </w:rPr>
            </w:pPr>
            <w:r w:rsidRPr="002410BE">
              <w:rPr>
                <w:rFonts w:ascii="Times New Roman" w:hAnsi="Times New Roman"/>
                <w:b/>
              </w:rPr>
              <w:t>HỘI CHỢ TRIỂN LÃM VIỆT NAM</w:t>
            </w:r>
          </w:p>
          <w:p w:rsidR="002410BE" w:rsidRPr="002410BE" w:rsidRDefault="002410BE" w:rsidP="002410BE">
            <w:pPr>
              <w:spacing w:after="0" w:line="240" w:lineRule="auto"/>
              <w:jc w:val="center"/>
              <w:rPr>
                <w:rFonts w:ascii="Times New Roman" w:hAnsi="Times New Roman"/>
                <w:b/>
              </w:rPr>
            </w:pPr>
            <w:r w:rsidRPr="002410BE">
              <w:rPr>
                <w:rFonts w:ascii="Times New Roman" w:hAnsi="Times New Roman"/>
                <w:b/>
              </w:rPr>
              <w:t>PHÓ TỔNG GIÁM ĐỐC</w:t>
            </w:r>
          </w:p>
          <w:p w:rsidR="002410BE" w:rsidRDefault="002410BE"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9D268B" w:rsidRPr="00BF7A1E" w:rsidRDefault="00BF7A1E" w:rsidP="00BF7A1E">
            <w:pPr>
              <w:jc w:val="center"/>
              <w:rPr>
                <w:rFonts w:asciiTheme="majorHAnsi" w:hAnsiTheme="majorHAnsi" w:cstheme="majorHAnsi"/>
                <w:b/>
                <w:sz w:val="26"/>
                <w:szCs w:val="26"/>
              </w:rPr>
            </w:pPr>
            <w:r>
              <w:rPr>
                <w:rFonts w:asciiTheme="majorHAnsi" w:hAnsiTheme="majorHAnsi" w:cstheme="majorHAnsi"/>
                <w:b/>
                <w:sz w:val="26"/>
                <w:szCs w:val="26"/>
              </w:rPr>
              <w:t>(đã ký)</w:t>
            </w:r>
          </w:p>
          <w:p w:rsidR="002410BE" w:rsidRDefault="002410BE" w:rsidP="002410BE">
            <w:pPr>
              <w:spacing w:after="0" w:line="240" w:lineRule="auto"/>
              <w:jc w:val="center"/>
              <w:rPr>
                <w:rFonts w:ascii="Times New Roman" w:hAnsi="Times New Roman"/>
                <w:b/>
              </w:rPr>
            </w:pPr>
          </w:p>
          <w:p w:rsidR="002410BE" w:rsidRPr="002410BE" w:rsidRDefault="002410BE" w:rsidP="002410BE">
            <w:pPr>
              <w:spacing w:after="0" w:line="240" w:lineRule="auto"/>
              <w:jc w:val="center"/>
              <w:rPr>
                <w:rFonts w:ascii="Times New Roman" w:hAnsi="Times New Roman"/>
                <w:b/>
              </w:rPr>
            </w:pPr>
          </w:p>
          <w:p w:rsidR="002410BE" w:rsidRPr="003C4D25" w:rsidRDefault="002410BE" w:rsidP="002410BE">
            <w:pPr>
              <w:spacing w:after="0" w:line="240" w:lineRule="auto"/>
              <w:jc w:val="center"/>
              <w:rPr>
                <w:rFonts w:ascii="Times New Roman" w:hAnsi="Times New Roman"/>
                <w:b/>
                <w:sz w:val="28"/>
                <w:szCs w:val="28"/>
              </w:rPr>
            </w:pPr>
            <w:r w:rsidRPr="003C4D25">
              <w:rPr>
                <w:rFonts w:ascii="Times New Roman" w:hAnsi="Times New Roman"/>
                <w:b/>
                <w:sz w:val="28"/>
                <w:szCs w:val="28"/>
              </w:rPr>
              <w:t>Kiều Khánh Hội</w:t>
            </w:r>
          </w:p>
          <w:p w:rsidR="002410BE" w:rsidRPr="002410BE" w:rsidRDefault="002410BE" w:rsidP="002410BE">
            <w:pPr>
              <w:spacing w:after="0" w:line="240" w:lineRule="auto"/>
              <w:jc w:val="center"/>
              <w:rPr>
                <w:rFonts w:ascii="Times New Roman" w:hAnsi="Times New Roman"/>
                <w:b/>
              </w:rPr>
            </w:pPr>
          </w:p>
        </w:tc>
        <w:tc>
          <w:tcPr>
            <w:tcW w:w="4774" w:type="dxa"/>
          </w:tcPr>
          <w:p w:rsidR="00D26B35" w:rsidRDefault="00D26B35" w:rsidP="002410BE">
            <w:pPr>
              <w:spacing w:after="0" w:line="240" w:lineRule="auto"/>
              <w:jc w:val="center"/>
              <w:rPr>
                <w:rFonts w:ascii="Times New Roman" w:hAnsi="Times New Roman"/>
                <w:b/>
              </w:rPr>
            </w:pPr>
            <w:r>
              <w:rPr>
                <w:rFonts w:ascii="Times New Roman" w:hAnsi="Times New Roman"/>
                <w:b/>
              </w:rPr>
              <w:t>TỔ CHỨC TƯ VẤN</w:t>
            </w:r>
          </w:p>
          <w:p w:rsidR="009D268B" w:rsidRDefault="002410BE" w:rsidP="002410BE">
            <w:pPr>
              <w:spacing w:after="0" w:line="240" w:lineRule="auto"/>
              <w:jc w:val="center"/>
              <w:rPr>
                <w:rFonts w:ascii="Times New Roman" w:hAnsi="Times New Roman"/>
                <w:b/>
              </w:rPr>
            </w:pPr>
            <w:r w:rsidRPr="002410BE">
              <w:rPr>
                <w:rFonts w:ascii="Times New Roman" w:hAnsi="Times New Roman"/>
                <w:b/>
              </w:rPr>
              <w:t xml:space="preserve">CÔNG TY CP CHỨNG KHOÁN </w:t>
            </w:r>
          </w:p>
          <w:p w:rsidR="008F6C0C" w:rsidRPr="002410BE" w:rsidRDefault="002410BE" w:rsidP="002410BE">
            <w:pPr>
              <w:spacing w:after="0" w:line="240" w:lineRule="auto"/>
              <w:jc w:val="center"/>
              <w:rPr>
                <w:rFonts w:ascii="Times New Roman" w:hAnsi="Times New Roman"/>
                <w:b/>
              </w:rPr>
            </w:pPr>
            <w:r w:rsidRPr="002410BE">
              <w:rPr>
                <w:rFonts w:ascii="Times New Roman" w:hAnsi="Times New Roman"/>
                <w:b/>
              </w:rPr>
              <w:t>NGÂN HÀNG CÔNG THƯƠNG VIỆT NAM</w:t>
            </w:r>
          </w:p>
          <w:p w:rsidR="002410BE" w:rsidRPr="002410BE" w:rsidRDefault="002410BE" w:rsidP="002410BE">
            <w:pPr>
              <w:spacing w:after="0" w:line="240" w:lineRule="auto"/>
              <w:jc w:val="center"/>
              <w:rPr>
                <w:rFonts w:ascii="Times New Roman" w:hAnsi="Times New Roman"/>
                <w:b/>
              </w:rPr>
            </w:pPr>
            <w:r w:rsidRPr="002410BE">
              <w:rPr>
                <w:rFonts w:ascii="Times New Roman" w:hAnsi="Times New Roman"/>
                <w:b/>
              </w:rPr>
              <w:t>PHÓ TỔNG GIÁM ĐỐC</w:t>
            </w:r>
          </w:p>
          <w:p w:rsidR="002410BE" w:rsidRDefault="002410BE"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BF7A1E" w:rsidRPr="00E20610" w:rsidRDefault="00BF7A1E" w:rsidP="00BF7A1E">
            <w:pPr>
              <w:jc w:val="center"/>
              <w:rPr>
                <w:rFonts w:asciiTheme="majorHAnsi" w:hAnsiTheme="majorHAnsi" w:cstheme="majorHAnsi"/>
                <w:b/>
                <w:sz w:val="26"/>
                <w:szCs w:val="26"/>
              </w:rPr>
            </w:pPr>
            <w:r>
              <w:rPr>
                <w:rFonts w:asciiTheme="majorHAnsi" w:hAnsiTheme="majorHAnsi" w:cstheme="majorHAnsi"/>
                <w:b/>
                <w:sz w:val="26"/>
                <w:szCs w:val="26"/>
              </w:rPr>
              <w:t>(đã ký)</w:t>
            </w:r>
          </w:p>
          <w:p w:rsidR="009D268B" w:rsidRDefault="009D268B" w:rsidP="002410BE">
            <w:pPr>
              <w:spacing w:after="0" w:line="240" w:lineRule="auto"/>
              <w:jc w:val="center"/>
              <w:rPr>
                <w:rFonts w:ascii="Times New Roman" w:hAnsi="Times New Roman"/>
                <w:b/>
              </w:rPr>
            </w:pPr>
          </w:p>
          <w:p w:rsidR="002410BE" w:rsidRDefault="002410BE" w:rsidP="002410BE">
            <w:pPr>
              <w:spacing w:after="0" w:line="240" w:lineRule="auto"/>
              <w:jc w:val="center"/>
              <w:rPr>
                <w:rFonts w:ascii="Times New Roman" w:hAnsi="Times New Roman"/>
                <w:b/>
              </w:rPr>
            </w:pPr>
          </w:p>
          <w:p w:rsidR="002410BE" w:rsidRPr="002410BE" w:rsidRDefault="002410BE" w:rsidP="002410BE">
            <w:pPr>
              <w:spacing w:after="0" w:line="240" w:lineRule="auto"/>
              <w:jc w:val="center"/>
              <w:rPr>
                <w:rFonts w:ascii="Times New Roman" w:hAnsi="Times New Roman"/>
                <w:b/>
              </w:rPr>
            </w:pPr>
          </w:p>
          <w:p w:rsidR="002410BE" w:rsidRPr="003C4D25" w:rsidRDefault="002410BE" w:rsidP="002410BE">
            <w:pPr>
              <w:spacing w:after="0" w:line="240" w:lineRule="auto"/>
              <w:jc w:val="center"/>
              <w:rPr>
                <w:rFonts w:ascii="Times New Roman" w:hAnsi="Times New Roman"/>
                <w:b/>
                <w:sz w:val="28"/>
                <w:szCs w:val="28"/>
              </w:rPr>
            </w:pPr>
            <w:r w:rsidRPr="003C4D25">
              <w:rPr>
                <w:rFonts w:ascii="Times New Roman" w:hAnsi="Times New Roman"/>
                <w:b/>
                <w:sz w:val="28"/>
                <w:szCs w:val="28"/>
              </w:rPr>
              <w:t>Bạch Nguyễn Vũ</w:t>
            </w:r>
          </w:p>
          <w:p w:rsidR="002410BE" w:rsidRPr="002410BE" w:rsidRDefault="002410BE" w:rsidP="002410BE">
            <w:pPr>
              <w:spacing w:after="0" w:line="240" w:lineRule="auto"/>
              <w:jc w:val="center"/>
              <w:rPr>
                <w:rFonts w:ascii="Times New Roman" w:hAnsi="Times New Roman"/>
                <w:b/>
              </w:rPr>
            </w:pPr>
          </w:p>
        </w:tc>
      </w:tr>
      <w:tr w:rsidR="00D26B35" w:rsidTr="002410BE">
        <w:tc>
          <w:tcPr>
            <w:tcW w:w="4774" w:type="dxa"/>
          </w:tcPr>
          <w:p w:rsidR="00D26B35" w:rsidRDefault="00D26B35" w:rsidP="002410BE">
            <w:pPr>
              <w:spacing w:after="0" w:line="240" w:lineRule="auto"/>
              <w:jc w:val="center"/>
              <w:rPr>
                <w:rFonts w:ascii="Times New Roman" w:hAnsi="Times New Roman"/>
                <w:b/>
              </w:rPr>
            </w:pPr>
          </w:p>
        </w:tc>
        <w:tc>
          <w:tcPr>
            <w:tcW w:w="4774" w:type="dxa"/>
          </w:tcPr>
          <w:p w:rsidR="00D26B35" w:rsidRPr="002410BE" w:rsidRDefault="00D26B35" w:rsidP="002410BE">
            <w:pPr>
              <w:spacing w:after="0" w:line="240" w:lineRule="auto"/>
              <w:jc w:val="center"/>
              <w:rPr>
                <w:rFonts w:ascii="Times New Roman" w:hAnsi="Times New Roman"/>
                <w:b/>
              </w:rPr>
            </w:pPr>
          </w:p>
        </w:tc>
      </w:tr>
    </w:tbl>
    <w:p w:rsidR="008F6C0C" w:rsidRPr="00E97C72" w:rsidRDefault="008F6C0C" w:rsidP="004B0148">
      <w:pPr>
        <w:jc w:val="both"/>
        <w:rPr>
          <w:rFonts w:asciiTheme="majorHAnsi" w:hAnsiTheme="majorHAnsi" w:cstheme="majorHAnsi"/>
          <w:sz w:val="26"/>
          <w:szCs w:val="26"/>
        </w:rPr>
      </w:pPr>
    </w:p>
    <w:sectPr w:rsidR="008F6C0C" w:rsidRPr="00E97C72" w:rsidSect="004B0148">
      <w:pgSz w:w="11906" w:h="16838" w:code="9"/>
      <w:pgMar w:top="1134" w:right="1134"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7D1" w:rsidRDefault="00CD67D1" w:rsidP="00067C96">
      <w:pPr>
        <w:spacing w:after="0" w:line="240" w:lineRule="auto"/>
      </w:pPr>
      <w:r>
        <w:separator/>
      </w:r>
    </w:p>
  </w:endnote>
  <w:endnote w:type="continuationSeparator" w:id="1">
    <w:p w:rsidR="00CD67D1" w:rsidRDefault="00CD67D1" w:rsidP="00067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7D1" w:rsidRDefault="00CD67D1" w:rsidP="00067C96">
      <w:pPr>
        <w:spacing w:after="0" w:line="240" w:lineRule="auto"/>
      </w:pPr>
      <w:r>
        <w:separator/>
      </w:r>
    </w:p>
  </w:footnote>
  <w:footnote w:type="continuationSeparator" w:id="1">
    <w:p w:rsidR="00CD67D1" w:rsidRDefault="00CD67D1" w:rsidP="00067C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2CE"/>
    <w:multiLevelType w:val="hybridMultilevel"/>
    <w:tmpl w:val="0E66C07A"/>
    <w:lvl w:ilvl="0" w:tplc="D2D4CFB6">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2CA70AE"/>
    <w:multiLevelType w:val="hybridMultilevel"/>
    <w:tmpl w:val="B91AA066"/>
    <w:lvl w:ilvl="0" w:tplc="3E583DA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374D3151"/>
    <w:multiLevelType w:val="hybridMultilevel"/>
    <w:tmpl w:val="226AA9C8"/>
    <w:lvl w:ilvl="0" w:tplc="784C67A8">
      <w:start w:val="4"/>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5166D"/>
    <w:rsid w:val="00067C96"/>
    <w:rsid w:val="00106543"/>
    <w:rsid w:val="001131CF"/>
    <w:rsid w:val="00126F80"/>
    <w:rsid w:val="001B757F"/>
    <w:rsid w:val="001F0C06"/>
    <w:rsid w:val="001F789A"/>
    <w:rsid w:val="002035B9"/>
    <w:rsid w:val="002410BE"/>
    <w:rsid w:val="002B1939"/>
    <w:rsid w:val="002B7F2C"/>
    <w:rsid w:val="002D362D"/>
    <w:rsid w:val="002F6763"/>
    <w:rsid w:val="00374D43"/>
    <w:rsid w:val="00397CCD"/>
    <w:rsid w:val="003B4941"/>
    <w:rsid w:val="003C4D25"/>
    <w:rsid w:val="003E7F60"/>
    <w:rsid w:val="004460FD"/>
    <w:rsid w:val="0045537E"/>
    <w:rsid w:val="004756B4"/>
    <w:rsid w:val="004B0148"/>
    <w:rsid w:val="004F11F4"/>
    <w:rsid w:val="00514CE8"/>
    <w:rsid w:val="0058066C"/>
    <w:rsid w:val="005B0121"/>
    <w:rsid w:val="005D3282"/>
    <w:rsid w:val="00617B25"/>
    <w:rsid w:val="00666830"/>
    <w:rsid w:val="00697CA3"/>
    <w:rsid w:val="007D5998"/>
    <w:rsid w:val="007F2AEF"/>
    <w:rsid w:val="00810905"/>
    <w:rsid w:val="00812D4C"/>
    <w:rsid w:val="008B0C06"/>
    <w:rsid w:val="008F181D"/>
    <w:rsid w:val="008F3953"/>
    <w:rsid w:val="008F6C0C"/>
    <w:rsid w:val="008F7FF2"/>
    <w:rsid w:val="00955F56"/>
    <w:rsid w:val="009D268B"/>
    <w:rsid w:val="00A67142"/>
    <w:rsid w:val="00A72D49"/>
    <w:rsid w:val="00BA214B"/>
    <w:rsid w:val="00BB3DFB"/>
    <w:rsid w:val="00BF4AE4"/>
    <w:rsid w:val="00BF7A1E"/>
    <w:rsid w:val="00C22BE4"/>
    <w:rsid w:val="00C7094F"/>
    <w:rsid w:val="00C76BA2"/>
    <w:rsid w:val="00CD67D1"/>
    <w:rsid w:val="00D1389E"/>
    <w:rsid w:val="00D26B35"/>
    <w:rsid w:val="00DA3E1A"/>
    <w:rsid w:val="00DD6EAE"/>
    <w:rsid w:val="00E20610"/>
    <w:rsid w:val="00E5166D"/>
    <w:rsid w:val="00E97C72"/>
    <w:rsid w:val="00EA40C3"/>
    <w:rsid w:val="00EC131A"/>
    <w:rsid w:val="00ED34AE"/>
    <w:rsid w:val="00EE51E4"/>
    <w:rsid w:val="00EE7D69"/>
    <w:rsid w:val="00F83D99"/>
    <w:rsid w:val="00FE2B3C"/>
    <w:rsid w:val="00FF24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49"/>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72"/>
    <w:pPr>
      <w:ind w:left="720"/>
      <w:contextualSpacing/>
    </w:pPr>
  </w:style>
  <w:style w:type="table" w:styleId="TableGrid">
    <w:name w:val="Table Grid"/>
    <w:basedOn w:val="TableNormal"/>
    <w:uiPriority w:val="39"/>
    <w:rsid w:val="008F1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7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142"/>
    <w:rPr>
      <w:rFonts w:ascii="Tahoma" w:eastAsia="Calibri" w:hAnsi="Tahoma" w:cs="Tahoma"/>
      <w:sz w:val="16"/>
      <w:szCs w:val="16"/>
      <w:lang w:val="en-US"/>
    </w:rPr>
  </w:style>
  <w:style w:type="paragraph" w:styleId="Header">
    <w:name w:val="header"/>
    <w:basedOn w:val="Normal"/>
    <w:link w:val="HeaderChar"/>
    <w:uiPriority w:val="99"/>
    <w:unhideWhenUsed/>
    <w:rsid w:val="00067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C96"/>
    <w:rPr>
      <w:rFonts w:ascii="Calibri" w:eastAsia="Calibri" w:hAnsi="Calibri" w:cs="Times New Roman"/>
      <w:lang w:val="en-US"/>
    </w:rPr>
  </w:style>
  <w:style w:type="paragraph" w:styleId="Footer">
    <w:name w:val="footer"/>
    <w:basedOn w:val="Normal"/>
    <w:link w:val="FooterChar"/>
    <w:uiPriority w:val="99"/>
    <w:unhideWhenUsed/>
    <w:rsid w:val="00067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C96"/>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49"/>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72"/>
    <w:pPr>
      <w:ind w:left="720"/>
      <w:contextualSpacing/>
    </w:pPr>
  </w:style>
  <w:style w:type="table" w:styleId="TableGrid">
    <w:name w:val="Table Grid"/>
    <w:basedOn w:val="TableNormal"/>
    <w:uiPriority w:val="39"/>
    <w:rsid w:val="008F1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7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142"/>
    <w:rPr>
      <w:rFonts w:ascii="Tahoma" w:eastAsia="Calibri" w:hAnsi="Tahoma" w:cs="Tahoma"/>
      <w:sz w:val="16"/>
      <w:szCs w:val="16"/>
      <w:lang w:val="en-US"/>
    </w:rPr>
  </w:style>
  <w:style w:type="paragraph" w:styleId="Header">
    <w:name w:val="header"/>
    <w:basedOn w:val="Normal"/>
    <w:link w:val="HeaderChar"/>
    <w:uiPriority w:val="99"/>
    <w:unhideWhenUsed/>
    <w:rsid w:val="00067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C96"/>
    <w:rPr>
      <w:rFonts w:ascii="Calibri" w:eastAsia="Calibri" w:hAnsi="Calibri" w:cs="Times New Roman"/>
      <w:lang w:val="en-US"/>
    </w:rPr>
  </w:style>
  <w:style w:type="paragraph" w:styleId="Footer">
    <w:name w:val="footer"/>
    <w:basedOn w:val="Normal"/>
    <w:link w:val="FooterChar"/>
    <w:uiPriority w:val="99"/>
    <w:unhideWhenUsed/>
    <w:rsid w:val="00067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C96"/>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3C26-3DB5-4A75-BF12-C0D08206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xmen</dc:creator>
  <cp:lastModifiedBy>thaonp</cp:lastModifiedBy>
  <cp:revision>3</cp:revision>
  <cp:lastPrinted>2015-03-06T03:00:00Z</cp:lastPrinted>
  <dcterms:created xsi:type="dcterms:W3CDTF">2015-03-06T08:58:00Z</dcterms:created>
  <dcterms:modified xsi:type="dcterms:W3CDTF">2015-03-06T09:30:00Z</dcterms:modified>
</cp:coreProperties>
</file>